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81" w:rsidRPr="00756681" w:rsidRDefault="00756681" w:rsidP="00756681">
      <w:pPr>
        <w:pStyle w:val="Heading1"/>
        <w:jc w:val="center"/>
        <w:rPr>
          <w:rFonts w:asciiTheme="minorHAnsi" w:hAnsiTheme="minorHAnsi"/>
          <w:b/>
          <w:sz w:val="24"/>
          <w:szCs w:val="24"/>
        </w:rPr>
      </w:pPr>
      <w:r>
        <w:rPr>
          <w:rFonts w:asciiTheme="minorHAnsi" w:hAnsiTheme="minorHAnsi"/>
          <w:b/>
          <w:sz w:val="24"/>
          <w:szCs w:val="24"/>
        </w:rPr>
        <w:t>Guidance on publication of meeting papers and agendas – Compliance with Local Government Act 1972</w:t>
      </w:r>
    </w:p>
    <w:p w:rsidR="00756681" w:rsidRPr="00756681" w:rsidRDefault="00756681" w:rsidP="00756681">
      <w:pPr>
        <w:rPr>
          <w:rFonts w:asciiTheme="minorHAnsi" w:hAnsiTheme="minorHAnsi"/>
          <w:sz w:val="24"/>
          <w:szCs w:val="24"/>
        </w:rPr>
      </w:pPr>
    </w:p>
    <w:p w:rsidR="00756681" w:rsidRPr="00756681" w:rsidRDefault="00756681" w:rsidP="00756681">
      <w:pPr>
        <w:jc w:val="both"/>
        <w:rPr>
          <w:rFonts w:asciiTheme="minorHAnsi" w:hAnsiTheme="minorHAnsi"/>
          <w:b/>
          <w:snapToGrid w:val="0"/>
          <w:sz w:val="24"/>
          <w:szCs w:val="24"/>
          <w:lang w:eastAsia="en-US"/>
        </w:rPr>
      </w:pPr>
      <w:r w:rsidRPr="00756681">
        <w:rPr>
          <w:rFonts w:asciiTheme="minorHAnsi" w:hAnsiTheme="minorHAnsi"/>
          <w:b/>
          <w:snapToGrid w:val="0"/>
          <w:sz w:val="24"/>
          <w:szCs w:val="24"/>
          <w:lang w:eastAsia="en-US"/>
        </w:rPr>
        <w:t>1.</w:t>
      </w:r>
      <w:r w:rsidRPr="00756681">
        <w:rPr>
          <w:rFonts w:asciiTheme="minorHAnsi" w:hAnsiTheme="minorHAnsi"/>
          <w:b/>
          <w:snapToGrid w:val="0"/>
          <w:sz w:val="24"/>
          <w:szCs w:val="24"/>
          <w:lang w:eastAsia="en-US"/>
        </w:rPr>
        <w:tab/>
        <w:t>Scope</w:t>
      </w:r>
    </w:p>
    <w:p w:rsidR="00756681" w:rsidRPr="00756681" w:rsidRDefault="00756681" w:rsidP="00756681">
      <w:pPr>
        <w:jc w:val="both"/>
        <w:rPr>
          <w:rFonts w:asciiTheme="minorHAnsi" w:hAnsiTheme="minorHAnsi"/>
          <w:snapToGrid w:val="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sz w:val="24"/>
          <w:szCs w:val="24"/>
          <w:lang w:eastAsia="en-US"/>
        </w:rPr>
        <w:t xml:space="preserve">These rules apply to all meetings of the </w:t>
      </w:r>
      <w:r>
        <w:rPr>
          <w:rFonts w:asciiTheme="minorHAnsi" w:hAnsiTheme="minorHAnsi"/>
          <w:snapToGrid w:val="0"/>
          <w:sz w:val="24"/>
          <w:szCs w:val="24"/>
          <w:lang w:eastAsia="en-US"/>
        </w:rPr>
        <w:t>Lancashire Enterprise Partnership Board (LEP) and its Committees.</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 xml:space="preserve">The </w:t>
      </w:r>
      <w:r>
        <w:rPr>
          <w:rFonts w:asciiTheme="minorHAnsi" w:hAnsiTheme="minorHAnsi"/>
          <w:snapToGrid w:val="0"/>
          <w:color w:val="000000"/>
          <w:sz w:val="24"/>
          <w:szCs w:val="24"/>
          <w:lang w:eastAsia="en-US"/>
        </w:rPr>
        <w:t>LEP is committed to publishing agenda papers and minutes for Full Board meetings and any Committees which involve decisions about public money.  All papers can be accessed via the LEP Website, or, the LEP's Accountable Bodies website (Lancashire County Council).</w:t>
      </w:r>
      <w:r w:rsidRPr="00756681">
        <w:rPr>
          <w:rFonts w:asciiTheme="minorHAnsi" w:hAnsiTheme="minorHAnsi"/>
          <w:snapToGrid w:val="0"/>
          <w:color w:val="000000"/>
          <w:sz w:val="24"/>
          <w:szCs w:val="24"/>
          <w:lang w:eastAsia="en-US"/>
        </w:rPr>
        <w:t xml:space="preserve"> </w:t>
      </w:r>
      <w:r>
        <w:rPr>
          <w:rFonts w:asciiTheme="minorHAnsi" w:hAnsiTheme="minorHAnsi"/>
          <w:snapToGrid w:val="0"/>
          <w:color w:val="000000"/>
          <w:sz w:val="24"/>
          <w:szCs w:val="24"/>
          <w:lang w:eastAsia="en-US"/>
        </w:rPr>
        <w:t xml:space="preserve">  This is based on the National LEP Assurance Framework and is done in accordance with the </w:t>
      </w:r>
      <w:hyperlink r:id="rId5" w:history="1">
        <w:r w:rsidRPr="00756681">
          <w:rPr>
            <w:rStyle w:val="Hyperlink"/>
            <w:rFonts w:asciiTheme="minorHAnsi" w:hAnsiTheme="minorHAnsi"/>
            <w:snapToGrid w:val="0"/>
            <w:sz w:val="24"/>
            <w:szCs w:val="24"/>
            <w:lang w:eastAsia="en-US"/>
          </w:rPr>
          <w:t>Local Government Act 1972</w:t>
        </w:r>
      </w:hyperlink>
      <w:r>
        <w:rPr>
          <w:rFonts w:asciiTheme="minorHAnsi" w:hAnsiTheme="minorHAnsi"/>
          <w:snapToGrid w:val="0"/>
          <w:color w:val="000000"/>
          <w:sz w:val="24"/>
          <w:szCs w:val="24"/>
          <w:lang w:eastAsia="en-US"/>
        </w:rPr>
        <w:t xml:space="preserve">. </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b/>
          <w:snapToGrid w:val="0"/>
          <w:color w:val="000000"/>
          <w:sz w:val="24"/>
          <w:szCs w:val="24"/>
          <w:lang w:eastAsia="en-US"/>
        </w:rPr>
      </w:pPr>
      <w:r w:rsidRPr="00756681">
        <w:rPr>
          <w:rFonts w:asciiTheme="minorHAnsi" w:hAnsiTheme="minorHAnsi"/>
          <w:b/>
          <w:snapToGrid w:val="0"/>
          <w:color w:val="000000"/>
          <w:sz w:val="24"/>
          <w:szCs w:val="24"/>
          <w:lang w:eastAsia="en-US"/>
        </w:rPr>
        <w:t>2.</w:t>
      </w:r>
      <w:r w:rsidRPr="00756681">
        <w:rPr>
          <w:rFonts w:asciiTheme="minorHAnsi" w:hAnsiTheme="minorHAnsi"/>
          <w:b/>
          <w:snapToGrid w:val="0"/>
          <w:color w:val="000000"/>
          <w:sz w:val="24"/>
          <w:szCs w:val="24"/>
          <w:lang w:eastAsia="en-US"/>
        </w:rPr>
        <w:tab/>
      </w:r>
      <w:r>
        <w:rPr>
          <w:rFonts w:asciiTheme="minorHAnsi" w:hAnsiTheme="minorHAnsi"/>
          <w:b/>
          <w:snapToGrid w:val="0"/>
          <w:color w:val="000000"/>
          <w:sz w:val="24"/>
          <w:szCs w:val="24"/>
          <w:lang w:eastAsia="en-US"/>
        </w:rPr>
        <w:t>Publication Procedure</w:t>
      </w:r>
    </w:p>
    <w:p w:rsidR="00756681" w:rsidRPr="00756681" w:rsidRDefault="00756681" w:rsidP="00756681">
      <w:pPr>
        <w:jc w:val="both"/>
        <w:rPr>
          <w:rFonts w:asciiTheme="minorHAnsi" w:hAnsiTheme="minorHAnsi"/>
          <w:snapToGrid w:val="0"/>
          <w:color w:val="000000"/>
          <w:sz w:val="24"/>
          <w:szCs w:val="24"/>
          <w:lang w:eastAsia="en-US"/>
        </w:rPr>
      </w:pPr>
    </w:p>
    <w:p w:rsidR="00756681" w:rsidRDefault="00756681" w:rsidP="00756681">
      <w:pPr>
        <w:pStyle w:val="ListParagraph"/>
        <w:numPr>
          <w:ilvl w:val="0"/>
          <w:numId w:val="6"/>
        </w:num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The LEP will give a</w:t>
      </w:r>
      <w:r w:rsidR="00C32461">
        <w:rPr>
          <w:rFonts w:asciiTheme="minorHAnsi" w:hAnsiTheme="minorHAnsi"/>
          <w:snapToGrid w:val="0"/>
          <w:color w:val="000000"/>
          <w:sz w:val="24"/>
          <w:szCs w:val="24"/>
          <w:lang w:eastAsia="en-US"/>
        </w:rPr>
        <w:t xml:space="preserve">t least five clear working </w:t>
      </w:r>
      <w:proofErr w:type="spellStart"/>
      <w:r w:rsidR="00C32461">
        <w:rPr>
          <w:rFonts w:asciiTheme="minorHAnsi" w:hAnsiTheme="minorHAnsi"/>
          <w:snapToGrid w:val="0"/>
          <w:color w:val="000000"/>
          <w:sz w:val="24"/>
          <w:szCs w:val="24"/>
          <w:lang w:eastAsia="en-US"/>
        </w:rPr>
        <w:t xml:space="preserve">days </w:t>
      </w:r>
      <w:r w:rsidRPr="00756681">
        <w:rPr>
          <w:rFonts w:asciiTheme="minorHAnsi" w:hAnsiTheme="minorHAnsi"/>
          <w:snapToGrid w:val="0"/>
          <w:color w:val="000000"/>
          <w:sz w:val="24"/>
          <w:szCs w:val="24"/>
          <w:lang w:eastAsia="en-US"/>
        </w:rPr>
        <w:t>notice</w:t>
      </w:r>
      <w:proofErr w:type="spellEnd"/>
      <w:r w:rsidRPr="00756681">
        <w:rPr>
          <w:rFonts w:asciiTheme="minorHAnsi" w:hAnsiTheme="minorHAnsi"/>
          <w:snapToGrid w:val="0"/>
          <w:color w:val="000000"/>
          <w:sz w:val="24"/>
          <w:szCs w:val="24"/>
          <w:lang w:eastAsia="en-US"/>
        </w:rPr>
        <w:t xml:space="preserve"> of any meeting by posting details of the meeting on its website.</w:t>
      </w:r>
    </w:p>
    <w:p w:rsidR="00756681" w:rsidRDefault="00756681" w:rsidP="00756681">
      <w:pPr>
        <w:pStyle w:val="ListParagraph"/>
        <w:jc w:val="both"/>
        <w:rPr>
          <w:rFonts w:asciiTheme="minorHAnsi" w:hAnsiTheme="minorHAnsi"/>
          <w:snapToGrid w:val="0"/>
          <w:color w:val="000000"/>
          <w:sz w:val="24"/>
          <w:szCs w:val="24"/>
          <w:lang w:eastAsia="en-US"/>
        </w:rPr>
      </w:pPr>
    </w:p>
    <w:p w:rsidR="00756681" w:rsidRDefault="00756681" w:rsidP="00756681">
      <w:pPr>
        <w:pStyle w:val="ListParagraph"/>
        <w:numPr>
          <w:ilvl w:val="0"/>
          <w:numId w:val="6"/>
        </w:num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Meeting agendas and papers are published at least 5 clear working days before meetings take place.</w:t>
      </w:r>
    </w:p>
    <w:p w:rsidR="00756681" w:rsidRPr="00756681" w:rsidRDefault="00756681" w:rsidP="00756681">
      <w:pPr>
        <w:pStyle w:val="ListParagraph"/>
        <w:rPr>
          <w:rFonts w:asciiTheme="minorHAnsi" w:hAnsiTheme="minorHAnsi"/>
          <w:snapToGrid w:val="0"/>
          <w:color w:val="000000"/>
          <w:sz w:val="24"/>
          <w:szCs w:val="24"/>
          <w:lang w:eastAsia="en-US"/>
        </w:rPr>
      </w:pPr>
    </w:p>
    <w:p w:rsidR="00756681" w:rsidRPr="00756681" w:rsidRDefault="00756681" w:rsidP="00756681">
      <w:pPr>
        <w:pStyle w:val="ListParagraph"/>
        <w:numPr>
          <w:ilvl w:val="0"/>
          <w:numId w:val="6"/>
        </w:num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Minutes of Board and Committee meetings are published within 10 clear working days of the meeting taking place at the very least in draft format which are subject to final approval by the Board.  Once approved final versions of minutes are published within 10 clear working days.</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b/>
          <w:snapToGrid w:val="0"/>
          <w:color w:val="000000"/>
          <w:sz w:val="24"/>
          <w:szCs w:val="24"/>
          <w:lang w:eastAsia="en-US"/>
        </w:rPr>
      </w:pPr>
      <w:r w:rsidRPr="00756681">
        <w:rPr>
          <w:rFonts w:asciiTheme="minorHAnsi" w:hAnsiTheme="minorHAnsi"/>
          <w:b/>
          <w:snapToGrid w:val="0"/>
          <w:color w:val="000000"/>
          <w:sz w:val="24"/>
          <w:szCs w:val="24"/>
          <w:lang w:eastAsia="en-US"/>
        </w:rPr>
        <w:t>3.</w:t>
      </w:r>
      <w:r w:rsidRPr="00756681">
        <w:rPr>
          <w:rFonts w:asciiTheme="minorHAnsi" w:hAnsiTheme="minorHAnsi"/>
          <w:b/>
          <w:snapToGrid w:val="0"/>
          <w:color w:val="000000"/>
          <w:sz w:val="24"/>
          <w:szCs w:val="24"/>
          <w:lang w:eastAsia="en-US"/>
        </w:rPr>
        <w:tab/>
      </w:r>
      <w:r>
        <w:rPr>
          <w:rFonts w:asciiTheme="minorHAnsi" w:hAnsiTheme="minorHAnsi"/>
          <w:b/>
          <w:snapToGrid w:val="0"/>
          <w:color w:val="000000"/>
          <w:sz w:val="24"/>
          <w:szCs w:val="24"/>
          <w:lang w:eastAsia="en-US"/>
        </w:rPr>
        <w:t>Declaration of Interests</w:t>
      </w:r>
      <w:r w:rsidRPr="00756681">
        <w:rPr>
          <w:rFonts w:asciiTheme="minorHAnsi" w:hAnsiTheme="minorHAnsi"/>
          <w:b/>
          <w:snapToGrid w:val="0"/>
          <w:color w:val="000000"/>
          <w:sz w:val="24"/>
          <w:szCs w:val="24"/>
          <w:lang w:eastAsia="en-US"/>
        </w:rPr>
        <w:t xml:space="preserve"> </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 xml:space="preserve">The LEP confirms to the Government Best Practice Guidance in relation to Directors Interests and a full LEP Directors Register of Interest can be accessed on the LEP website </w:t>
      </w:r>
      <w:hyperlink r:id="rId6" w:history="1">
        <w:r w:rsidRPr="008277DA">
          <w:rPr>
            <w:rStyle w:val="Hyperlink"/>
            <w:rFonts w:asciiTheme="minorHAnsi" w:hAnsiTheme="minorHAnsi"/>
            <w:snapToGrid w:val="0"/>
            <w:sz w:val="24"/>
            <w:szCs w:val="24"/>
            <w:lang w:eastAsia="en-US"/>
          </w:rPr>
          <w:t>here</w:t>
        </w:r>
      </w:hyperlink>
      <w:bookmarkStart w:id="0" w:name="_GoBack"/>
      <w:bookmarkEnd w:id="0"/>
      <w:r w:rsidRPr="00756681">
        <w:rPr>
          <w:rFonts w:asciiTheme="minorHAnsi" w:hAnsiTheme="minorHAnsi"/>
          <w:snapToGrid w:val="0"/>
          <w:color w:val="000000"/>
          <w:sz w:val="24"/>
          <w:szCs w:val="24"/>
          <w:lang w:eastAsia="en-US"/>
        </w:rPr>
        <w:t xml:space="preserve">.  </w:t>
      </w:r>
    </w:p>
    <w:p w:rsidR="00756681" w:rsidRDefault="00756681" w:rsidP="00756681">
      <w:pPr>
        <w:jc w:val="both"/>
        <w:rPr>
          <w:rFonts w:asciiTheme="minorHAnsi" w:hAnsiTheme="minorHAnsi"/>
          <w:b/>
          <w:snapToGrid w:val="0"/>
          <w:color w:val="000000"/>
          <w:sz w:val="24"/>
          <w:szCs w:val="24"/>
          <w:lang w:eastAsia="en-US"/>
        </w:rPr>
      </w:pPr>
    </w:p>
    <w:p w:rsidR="00756681" w:rsidRDefault="00756681" w:rsidP="00756681">
      <w:p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 xml:space="preserve">In addition, any declaration of interest made at a meeting of the LEP Board or one of its Committees is included in the minutes of the relevant LEP Board or Committee meeting.  If this is a new declaration not previously notified by </w:t>
      </w:r>
      <w:r w:rsidR="000B6692">
        <w:rPr>
          <w:rFonts w:asciiTheme="minorHAnsi" w:hAnsiTheme="minorHAnsi"/>
          <w:snapToGrid w:val="0"/>
          <w:color w:val="000000"/>
          <w:sz w:val="24"/>
          <w:szCs w:val="24"/>
          <w:lang w:eastAsia="en-US"/>
        </w:rPr>
        <w:t>that Director, their register of interests is updated with the new declaration included.</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w:t>
      </w:r>
      <w:r w:rsidR="00756681" w:rsidRPr="00756681">
        <w:rPr>
          <w:rFonts w:asciiTheme="minorHAnsi" w:hAnsiTheme="minorHAnsi"/>
          <w:b/>
          <w:snapToGrid w:val="0"/>
          <w:color w:val="000000"/>
          <w:sz w:val="24"/>
          <w:szCs w:val="24"/>
          <w:lang w:eastAsia="en-US"/>
        </w:rPr>
        <w:tab/>
      </w:r>
      <w:r w:rsidR="000B6692">
        <w:rPr>
          <w:rFonts w:asciiTheme="minorHAnsi" w:hAnsiTheme="minorHAnsi"/>
          <w:b/>
          <w:snapToGrid w:val="0"/>
          <w:color w:val="000000"/>
          <w:sz w:val="24"/>
          <w:szCs w:val="24"/>
          <w:lang w:eastAsia="en-US"/>
        </w:rPr>
        <w:t>Guidance on Handling Confidential and Exempt Information</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.1</w:t>
      </w:r>
      <w:r w:rsidR="00756681" w:rsidRPr="00756681">
        <w:rPr>
          <w:rFonts w:asciiTheme="minorHAnsi" w:hAnsiTheme="minorHAnsi"/>
          <w:b/>
          <w:snapToGrid w:val="0"/>
          <w:color w:val="000000"/>
          <w:sz w:val="24"/>
          <w:szCs w:val="24"/>
          <w:lang w:eastAsia="en-US"/>
        </w:rPr>
        <w:tab/>
        <w:t>Confidential information – requirement to exclude public</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The public have to be excluded from meetings whenever it is likely in view of the nature of the business to be transacted or the nature of the proceedings that confidential information would be disclosed.</w:t>
      </w:r>
    </w:p>
    <w:p w:rsidR="00756681" w:rsidRDefault="00756681" w:rsidP="00756681">
      <w:pPr>
        <w:jc w:val="both"/>
        <w:rPr>
          <w:rFonts w:asciiTheme="minorHAnsi" w:hAnsiTheme="minorHAnsi"/>
          <w:snapToGrid w:val="0"/>
          <w:color w:val="000000"/>
          <w:sz w:val="24"/>
          <w:szCs w:val="24"/>
          <w:lang w:eastAsia="en-US"/>
        </w:rPr>
      </w:pPr>
    </w:p>
    <w:p w:rsidR="000B6692" w:rsidRDefault="000B6692" w:rsidP="00756681">
      <w:pPr>
        <w:jc w:val="both"/>
        <w:rPr>
          <w:rFonts w:asciiTheme="minorHAnsi" w:hAnsiTheme="minorHAnsi"/>
          <w:snapToGrid w:val="0"/>
          <w:color w:val="000000"/>
          <w:sz w:val="24"/>
          <w:szCs w:val="24"/>
          <w:lang w:eastAsia="en-US"/>
        </w:rPr>
      </w:pPr>
    </w:p>
    <w:p w:rsidR="000B6692" w:rsidRPr="00756681" w:rsidRDefault="000B6692"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lastRenderedPageBreak/>
        <w:t>4</w:t>
      </w:r>
      <w:r w:rsidR="00756681" w:rsidRPr="00756681">
        <w:rPr>
          <w:rFonts w:asciiTheme="minorHAnsi" w:hAnsiTheme="minorHAnsi"/>
          <w:b/>
          <w:snapToGrid w:val="0"/>
          <w:color w:val="000000"/>
          <w:sz w:val="24"/>
          <w:szCs w:val="24"/>
          <w:lang w:eastAsia="en-US"/>
        </w:rPr>
        <w:t>.2</w:t>
      </w:r>
      <w:r w:rsidR="00756681" w:rsidRPr="00756681">
        <w:rPr>
          <w:rFonts w:asciiTheme="minorHAnsi" w:hAnsiTheme="minorHAnsi"/>
          <w:b/>
          <w:snapToGrid w:val="0"/>
          <w:color w:val="000000"/>
          <w:sz w:val="24"/>
          <w:szCs w:val="24"/>
          <w:lang w:eastAsia="en-US"/>
        </w:rPr>
        <w:tab/>
        <w:t>Meaning of confidential information</w:t>
      </w:r>
    </w:p>
    <w:p w:rsidR="00756681" w:rsidRDefault="00756681" w:rsidP="00756681">
      <w:pPr>
        <w:jc w:val="both"/>
        <w:rPr>
          <w:rFonts w:asciiTheme="minorHAnsi" w:hAnsiTheme="minorHAnsi"/>
          <w:b/>
          <w:snapToGrid w:val="0"/>
          <w:color w:val="000000"/>
          <w:sz w:val="24"/>
          <w:szCs w:val="24"/>
          <w:lang w:eastAsia="en-US"/>
        </w:rPr>
      </w:pPr>
    </w:p>
    <w:p w:rsidR="000B6692" w:rsidRPr="000B6692" w:rsidRDefault="000B6692" w:rsidP="00756681">
      <w:pPr>
        <w:jc w:val="both"/>
        <w:rPr>
          <w:rFonts w:asciiTheme="minorHAnsi" w:hAnsiTheme="minorHAnsi" w:cs="Arial"/>
          <w:iCs/>
          <w:sz w:val="24"/>
          <w:szCs w:val="24"/>
          <w:u w:val="single"/>
        </w:rPr>
      </w:pPr>
      <w:r w:rsidRPr="000B6692">
        <w:rPr>
          <w:rFonts w:asciiTheme="minorHAnsi" w:hAnsiTheme="minorHAnsi" w:cs="Arial"/>
          <w:iCs/>
          <w:sz w:val="24"/>
          <w:szCs w:val="24"/>
        </w:rPr>
        <w:t xml:space="preserve">The LEP complies with </w:t>
      </w:r>
      <w:hyperlink r:id="rId7" w:history="1">
        <w:r w:rsidRPr="000B6692">
          <w:rPr>
            <w:rStyle w:val="Hyperlink"/>
            <w:rFonts w:asciiTheme="minorHAnsi" w:hAnsiTheme="minorHAnsi" w:cs="Arial"/>
            <w:iCs/>
            <w:sz w:val="24"/>
            <w:szCs w:val="24"/>
          </w:rPr>
          <w:t>The Local Authorities (Executive Arrangements) (Meetings and Access to Information) (England) Regulations 2012</w:t>
        </w:r>
      </w:hyperlink>
      <w:r w:rsidRPr="000B6692">
        <w:rPr>
          <w:rFonts w:asciiTheme="minorHAnsi" w:hAnsiTheme="minorHAnsi" w:cs="Arial"/>
          <w:iCs/>
          <w:sz w:val="24"/>
          <w:szCs w:val="24"/>
          <w:u w:val="single"/>
        </w:rPr>
        <w:t xml:space="preserve"> </w:t>
      </w:r>
      <w:r w:rsidRPr="000B6692">
        <w:rPr>
          <w:rFonts w:asciiTheme="minorHAnsi" w:hAnsiTheme="minorHAnsi" w:cs="Arial"/>
          <w:iCs/>
          <w:sz w:val="24"/>
          <w:szCs w:val="24"/>
        </w:rPr>
        <w:t>with regard to confidential information.</w:t>
      </w:r>
    </w:p>
    <w:p w:rsidR="000B6692" w:rsidRPr="00756681" w:rsidRDefault="000B6692"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sz w:val="24"/>
          <w:szCs w:val="24"/>
          <w:lang w:eastAsia="en-US"/>
        </w:rPr>
      </w:pPr>
      <w:r w:rsidRPr="00756681">
        <w:rPr>
          <w:rFonts w:asciiTheme="minorHAnsi" w:hAnsiTheme="minorHAnsi"/>
          <w:snapToGrid w:val="0"/>
          <w:color w:val="000000"/>
          <w:sz w:val="24"/>
          <w:szCs w:val="24"/>
          <w:lang w:eastAsia="en-US"/>
        </w:rPr>
        <w:t xml:space="preserve">Confidential information means information given to the Council by a Government Department on terms which forbid its public disclosure or information which cannot be publicly disclosed by Court Order and as fully defined in </w:t>
      </w:r>
      <w:hyperlink r:id="rId8" w:history="1">
        <w:r w:rsidRPr="000B6692">
          <w:rPr>
            <w:rStyle w:val="Hyperlink"/>
            <w:rFonts w:asciiTheme="minorHAnsi" w:hAnsiTheme="minorHAnsi"/>
            <w:snapToGrid w:val="0"/>
            <w:sz w:val="24"/>
            <w:szCs w:val="24"/>
            <w:lang w:eastAsia="en-US"/>
          </w:rPr>
          <w:t>Section 100A(3) of the Local Government Act 1972</w:t>
        </w:r>
      </w:hyperlink>
      <w:r w:rsidRPr="00756681">
        <w:rPr>
          <w:rFonts w:asciiTheme="minorHAnsi" w:hAnsiTheme="minorHAnsi"/>
          <w:snapToGrid w:val="0"/>
          <w:color w:val="000000"/>
          <w:sz w:val="24"/>
          <w:szCs w:val="24"/>
          <w:lang w:eastAsia="en-US"/>
        </w:rPr>
        <w:t>.</w:t>
      </w:r>
      <w:r w:rsidRPr="00756681">
        <w:rPr>
          <w:rFonts w:asciiTheme="minorHAnsi" w:hAnsiTheme="minorHAnsi"/>
          <w:snapToGrid w:val="0"/>
          <w:color w:val="0000FF"/>
          <w:sz w:val="24"/>
          <w:szCs w:val="24"/>
          <w:lang w:eastAsia="en-US"/>
        </w:rPr>
        <w:t xml:space="preserve"> </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.3</w:t>
      </w:r>
      <w:r w:rsidR="00756681" w:rsidRPr="00756681">
        <w:rPr>
          <w:rFonts w:asciiTheme="minorHAnsi" w:hAnsiTheme="minorHAnsi"/>
          <w:b/>
          <w:snapToGrid w:val="0"/>
          <w:color w:val="000000"/>
          <w:sz w:val="24"/>
          <w:szCs w:val="24"/>
          <w:lang w:eastAsia="en-US"/>
        </w:rPr>
        <w:tab/>
        <w:t>Exempt information – discretion to exclude public</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The public may be excluded from meetings whenever it is likely in view of the nature of the business to be transacted or the nature of the proceedings that exempt information would be disclosed.</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.4</w:t>
      </w:r>
      <w:r w:rsidR="00756681" w:rsidRPr="00756681">
        <w:rPr>
          <w:rFonts w:asciiTheme="minorHAnsi" w:hAnsiTheme="minorHAnsi"/>
          <w:b/>
          <w:snapToGrid w:val="0"/>
          <w:color w:val="000000"/>
          <w:sz w:val="24"/>
          <w:szCs w:val="24"/>
          <w:lang w:eastAsia="en-US"/>
        </w:rPr>
        <w:tab/>
        <w:t>Meaning of exempt information</w:t>
      </w:r>
    </w:p>
    <w:p w:rsidR="00756681" w:rsidRPr="00756681" w:rsidRDefault="00756681" w:rsidP="00756681">
      <w:pPr>
        <w:jc w:val="both"/>
        <w:rPr>
          <w:rFonts w:asciiTheme="minorHAnsi" w:hAnsiTheme="minorHAnsi"/>
          <w:b/>
          <w:snapToGrid w:val="0"/>
          <w:color w:val="000000"/>
          <w:sz w:val="24"/>
          <w:szCs w:val="24"/>
          <w:lang w:eastAsia="en-US"/>
        </w:rPr>
      </w:pPr>
    </w:p>
    <w:p w:rsidR="00756681" w:rsidRPr="00756681" w:rsidRDefault="00756681" w:rsidP="00756681">
      <w:pPr>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Exempt information means information falling within the following 7 categories (subject to the qualifications below):</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D22207">
      <w:pPr>
        <w:pStyle w:val="NormalWeb"/>
        <w:spacing w:before="0" w:beforeAutospacing="0" w:after="0" w:afterAutospacing="0"/>
        <w:rPr>
          <w:rFonts w:asciiTheme="minorHAnsi" w:hAnsiTheme="minorHAnsi" w:cs="Arial"/>
          <w:color w:val="000000"/>
        </w:rPr>
      </w:pPr>
      <w:r w:rsidRPr="00756681">
        <w:rPr>
          <w:rFonts w:asciiTheme="minorHAnsi" w:hAnsiTheme="minorHAnsi" w:cs="Arial"/>
          <w:color w:val="000000"/>
        </w:rPr>
        <w:t>1. </w:t>
      </w:r>
      <w:r w:rsidRPr="00756681">
        <w:rPr>
          <w:rFonts w:asciiTheme="minorHAnsi" w:hAnsiTheme="minorHAnsi" w:cs="Arial"/>
          <w:color w:val="000000"/>
        </w:rPr>
        <w:tab/>
        <w:t xml:space="preserve"> Information relating to any individual.</w:t>
      </w:r>
      <w:r w:rsidRPr="00756681">
        <w:rPr>
          <w:rFonts w:asciiTheme="minorHAnsi" w:hAnsiTheme="minorHAnsi" w:cs="Arial"/>
          <w:color w:val="000000"/>
        </w:rPr>
        <w:br/>
      </w:r>
      <w:r w:rsidRPr="00756681">
        <w:rPr>
          <w:rFonts w:asciiTheme="minorHAnsi" w:hAnsiTheme="minorHAnsi" w:cs="Arial"/>
          <w:color w:val="000000"/>
        </w:rPr>
        <w:br/>
        <w:t>2. </w:t>
      </w:r>
      <w:r w:rsidRPr="00756681">
        <w:rPr>
          <w:rFonts w:asciiTheme="minorHAnsi" w:hAnsiTheme="minorHAnsi" w:cs="Arial"/>
          <w:color w:val="000000"/>
        </w:rPr>
        <w:tab/>
        <w:t xml:space="preserve"> Information which is likely to reveal the identity of an individual.</w:t>
      </w:r>
      <w:r w:rsidRPr="00756681">
        <w:rPr>
          <w:rFonts w:asciiTheme="minorHAnsi" w:hAnsiTheme="minorHAnsi" w:cs="Arial"/>
          <w:color w:val="000000"/>
        </w:rPr>
        <w:br/>
      </w:r>
      <w:r w:rsidRPr="00756681">
        <w:rPr>
          <w:rFonts w:asciiTheme="minorHAnsi" w:hAnsiTheme="minorHAnsi" w:cs="Arial"/>
          <w:color w:val="000000"/>
        </w:rPr>
        <w:br/>
        <w:t>3. </w:t>
      </w:r>
      <w:r w:rsidRPr="00756681">
        <w:rPr>
          <w:rFonts w:asciiTheme="minorHAnsi" w:hAnsiTheme="minorHAnsi" w:cs="Arial"/>
          <w:color w:val="000000"/>
        </w:rPr>
        <w:tab/>
        <w:t xml:space="preserve"> Information relating to the financial or busi</w:t>
      </w:r>
      <w:r w:rsidR="00D22207">
        <w:rPr>
          <w:rFonts w:asciiTheme="minorHAnsi" w:hAnsiTheme="minorHAnsi" w:cs="Arial"/>
          <w:color w:val="000000"/>
        </w:rPr>
        <w:t>ness affairs of any particular person</w:t>
      </w:r>
      <w:r w:rsidR="00D22207">
        <w:rPr>
          <w:rFonts w:asciiTheme="minorHAnsi" w:hAnsiTheme="minorHAnsi" w:cs="Arial"/>
          <w:color w:val="000000"/>
        </w:rPr>
        <w:tab/>
      </w:r>
      <w:r w:rsidRPr="00756681">
        <w:rPr>
          <w:rFonts w:asciiTheme="minorHAnsi" w:hAnsiTheme="minorHAnsi" w:cs="Arial"/>
          <w:color w:val="000000"/>
        </w:rPr>
        <w:t>(including the authority holding that information).</w:t>
      </w:r>
      <w:r w:rsidRPr="00756681">
        <w:rPr>
          <w:rFonts w:asciiTheme="minorHAnsi" w:hAnsiTheme="minorHAnsi" w:cs="Arial"/>
          <w:color w:val="000000"/>
        </w:rPr>
        <w:br/>
      </w:r>
      <w:r w:rsidRPr="00756681">
        <w:rPr>
          <w:rFonts w:asciiTheme="minorHAnsi" w:hAnsiTheme="minorHAnsi" w:cs="Arial"/>
          <w:color w:val="000000"/>
        </w:rPr>
        <w:br/>
        <w:t>4. </w:t>
      </w:r>
      <w:r w:rsidRPr="00756681">
        <w:rPr>
          <w:rFonts w:asciiTheme="minorHAnsi" w:hAnsiTheme="minorHAnsi" w:cs="Arial"/>
          <w:color w:val="000000"/>
        </w:rPr>
        <w:tab/>
        <w:t>Information relating to any consultations or negotiations, or</w:t>
      </w:r>
      <w:r w:rsidR="00D22207">
        <w:rPr>
          <w:rFonts w:asciiTheme="minorHAnsi" w:hAnsiTheme="minorHAnsi" w:cs="Arial"/>
          <w:color w:val="000000"/>
        </w:rPr>
        <w:t xml:space="preserve"> contemplated</w:t>
      </w:r>
      <w:r w:rsidR="00D22207">
        <w:rPr>
          <w:rFonts w:asciiTheme="minorHAnsi" w:hAnsiTheme="minorHAnsi" w:cs="Arial"/>
          <w:color w:val="000000"/>
        </w:rPr>
        <w:tab/>
      </w:r>
      <w:r w:rsidRPr="00756681">
        <w:rPr>
          <w:rFonts w:asciiTheme="minorHAnsi" w:hAnsiTheme="minorHAnsi" w:cs="Arial"/>
          <w:color w:val="000000"/>
        </w:rPr>
        <w:t>consultations or negoti</w:t>
      </w:r>
      <w:r w:rsidR="000B6692">
        <w:rPr>
          <w:rFonts w:asciiTheme="minorHAnsi" w:hAnsiTheme="minorHAnsi" w:cs="Arial"/>
          <w:color w:val="000000"/>
        </w:rPr>
        <w:t xml:space="preserve">ations, in connection with any </w:t>
      </w:r>
      <w:r w:rsidR="00D22207">
        <w:rPr>
          <w:rFonts w:asciiTheme="minorHAnsi" w:hAnsiTheme="minorHAnsi" w:cs="Arial"/>
          <w:color w:val="000000"/>
        </w:rPr>
        <w:t>labour relations matter arising</w:t>
      </w:r>
      <w:r w:rsidR="00D22207">
        <w:rPr>
          <w:rFonts w:asciiTheme="minorHAnsi" w:hAnsiTheme="minorHAnsi" w:cs="Arial"/>
          <w:color w:val="000000"/>
        </w:rPr>
        <w:tab/>
      </w:r>
      <w:r w:rsidRPr="00756681">
        <w:rPr>
          <w:rFonts w:asciiTheme="minorHAnsi" w:hAnsiTheme="minorHAnsi" w:cs="Arial"/>
          <w:color w:val="000000"/>
        </w:rPr>
        <w:t xml:space="preserve">between the authority or a Minister of the </w:t>
      </w:r>
      <w:r w:rsidRPr="00756681">
        <w:rPr>
          <w:rFonts w:asciiTheme="minorHAnsi" w:hAnsiTheme="minorHAnsi" w:cs="Arial"/>
          <w:color w:val="000000"/>
        </w:rPr>
        <w:tab/>
        <w:t>Cr</w:t>
      </w:r>
      <w:r w:rsidR="00D22207">
        <w:rPr>
          <w:rFonts w:asciiTheme="minorHAnsi" w:hAnsiTheme="minorHAnsi" w:cs="Arial"/>
          <w:color w:val="000000"/>
        </w:rPr>
        <w:t>own and employees of, or office</w:t>
      </w:r>
      <w:r w:rsidR="00D22207">
        <w:rPr>
          <w:rFonts w:asciiTheme="minorHAnsi" w:hAnsiTheme="minorHAnsi" w:cs="Arial"/>
          <w:color w:val="000000"/>
        </w:rPr>
        <w:tab/>
      </w:r>
      <w:r w:rsidRPr="00756681">
        <w:rPr>
          <w:rFonts w:asciiTheme="minorHAnsi" w:hAnsiTheme="minorHAnsi" w:cs="Arial"/>
          <w:color w:val="000000"/>
        </w:rPr>
        <w:t>holders under, the authority.</w:t>
      </w:r>
      <w:r w:rsidRPr="00756681">
        <w:rPr>
          <w:rFonts w:asciiTheme="minorHAnsi" w:hAnsiTheme="minorHAnsi" w:cs="Arial"/>
          <w:color w:val="000000"/>
        </w:rPr>
        <w:br/>
      </w:r>
      <w:r w:rsidRPr="00756681">
        <w:rPr>
          <w:rFonts w:asciiTheme="minorHAnsi" w:hAnsiTheme="minorHAnsi" w:cs="Arial"/>
          <w:color w:val="000000"/>
        </w:rPr>
        <w:br/>
        <w:t>5. </w:t>
      </w:r>
      <w:r w:rsidRPr="00756681">
        <w:rPr>
          <w:rFonts w:asciiTheme="minorHAnsi" w:hAnsiTheme="minorHAnsi" w:cs="Arial"/>
          <w:color w:val="000000"/>
        </w:rPr>
        <w:tab/>
        <w:t>Information in respect of which a claim t</w:t>
      </w:r>
      <w:r w:rsidR="000B6692">
        <w:rPr>
          <w:rFonts w:asciiTheme="minorHAnsi" w:hAnsiTheme="minorHAnsi" w:cs="Arial"/>
          <w:color w:val="000000"/>
        </w:rPr>
        <w:t xml:space="preserve">o legal </w:t>
      </w:r>
      <w:r w:rsidR="00D22207">
        <w:rPr>
          <w:rFonts w:asciiTheme="minorHAnsi" w:hAnsiTheme="minorHAnsi" w:cs="Arial"/>
          <w:color w:val="000000"/>
        </w:rPr>
        <w:t>professional privilege could be</w:t>
      </w:r>
      <w:r w:rsidR="00D22207">
        <w:rPr>
          <w:rFonts w:asciiTheme="minorHAnsi" w:hAnsiTheme="minorHAnsi" w:cs="Arial"/>
          <w:color w:val="000000"/>
        </w:rPr>
        <w:tab/>
      </w:r>
      <w:r w:rsidRPr="00756681">
        <w:rPr>
          <w:rFonts w:asciiTheme="minorHAnsi" w:hAnsiTheme="minorHAnsi" w:cs="Arial"/>
          <w:color w:val="000000"/>
        </w:rPr>
        <w:t>maintained in legal proceedings.</w:t>
      </w:r>
      <w:r w:rsidRPr="00756681">
        <w:rPr>
          <w:rFonts w:asciiTheme="minorHAnsi" w:hAnsiTheme="minorHAnsi" w:cs="Arial"/>
          <w:color w:val="000000"/>
        </w:rPr>
        <w:br/>
      </w:r>
      <w:r w:rsidRPr="00756681">
        <w:rPr>
          <w:rFonts w:asciiTheme="minorHAnsi" w:hAnsiTheme="minorHAnsi" w:cs="Arial"/>
          <w:color w:val="000000"/>
        </w:rPr>
        <w:br/>
        <w:t>6. </w:t>
      </w:r>
      <w:r w:rsidRPr="00756681">
        <w:rPr>
          <w:rFonts w:asciiTheme="minorHAnsi" w:hAnsiTheme="minorHAnsi" w:cs="Arial"/>
          <w:color w:val="000000"/>
        </w:rPr>
        <w:tab/>
        <w:t>Information which reveals that the authority proposes - </w:t>
      </w:r>
      <w:r w:rsidRPr="00756681">
        <w:rPr>
          <w:rFonts w:asciiTheme="minorHAnsi" w:hAnsiTheme="minorHAnsi" w:cs="Arial"/>
          <w:color w:val="000000"/>
        </w:rPr>
        <w:br/>
      </w:r>
      <w:r w:rsidRPr="00756681">
        <w:rPr>
          <w:rFonts w:asciiTheme="minorHAnsi" w:hAnsiTheme="minorHAnsi" w:cs="Arial"/>
          <w:color w:val="000000"/>
        </w:rPr>
        <w:br/>
        <w:t>    </w:t>
      </w:r>
      <w:r w:rsidRPr="00756681">
        <w:rPr>
          <w:rFonts w:asciiTheme="minorHAnsi" w:hAnsiTheme="minorHAnsi" w:cs="Arial"/>
          <w:color w:val="000000"/>
        </w:rPr>
        <w:tab/>
        <w:t xml:space="preserve">(a)  </w:t>
      </w:r>
      <w:r w:rsidRPr="00756681">
        <w:rPr>
          <w:rFonts w:asciiTheme="minorHAnsi" w:hAnsiTheme="minorHAnsi" w:cs="Arial"/>
          <w:color w:val="000000"/>
        </w:rPr>
        <w:tab/>
        <w:t>to give under any enactment a notic</w:t>
      </w:r>
      <w:r w:rsidR="00D22207">
        <w:rPr>
          <w:rFonts w:asciiTheme="minorHAnsi" w:hAnsiTheme="minorHAnsi" w:cs="Arial"/>
          <w:color w:val="000000"/>
        </w:rPr>
        <w:t>e under or by virtue of which</w:t>
      </w:r>
      <w:r w:rsidR="00D22207">
        <w:rPr>
          <w:rFonts w:asciiTheme="minorHAnsi" w:hAnsiTheme="minorHAnsi" w:cs="Arial"/>
          <w:color w:val="000000"/>
        </w:rPr>
        <w:tab/>
      </w:r>
      <w:r w:rsidR="00D22207">
        <w:rPr>
          <w:rFonts w:asciiTheme="minorHAnsi" w:hAnsiTheme="minorHAnsi" w:cs="Arial"/>
          <w:color w:val="000000"/>
        </w:rPr>
        <w:tab/>
      </w:r>
      <w:r w:rsidR="00D22207">
        <w:rPr>
          <w:rFonts w:asciiTheme="minorHAnsi" w:hAnsiTheme="minorHAnsi" w:cs="Arial"/>
          <w:color w:val="000000"/>
        </w:rPr>
        <w:tab/>
      </w:r>
      <w:r w:rsidR="00D22207">
        <w:rPr>
          <w:rFonts w:asciiTheme="minorHAnsi" w:hAnsiTheme="minorHAnsi" w:cs="Arial"/>
          <w:color w:val="000000"/>
        </w:rPr>
        <w:tab/>
      </w:r>
      <w:r w:rsidRPr="00756681">
        <w:rPr>
          <w:rFonts w:asciiTheme="minorHAnsi" w:hAnsiTheme="minorHAnsi" w:cs="Arial"/>
          <w:color w:val="000000"/>
        </w:rPr>
        <w:t>requirements are imposed on a person; or </w:t>
      </w:r>
    </w:p>
    <w:p w:rsidR="00756681" w:rsidRPr="00756681" w:rsidRDefault="00756681" w:rsidP="00756681">
      <w:pPr>
        <w:pStyle w:val="NormalWeb"/>
        <w:spacing w:before="0" w:beforeAutospacing="0" w:after="0" w:afterAutospacing="0"/>
        <w:ind w:firstLine="720"/>
        <w:rPr>
          <w:rFonts w:asciiTheme="minorHAnsi" w:hAnsiTheme="minorHAnsi" w:cs="Arial"/>
          <w:color w:val="000000"/>
        </w:rPr>
      </w:pPr>
      <w:r w:rsidRPr="00756681">
        <w:rPr>
          <w:rFonts w:asciiTheme="minorHAnsi" w:hAnsiTheme="minorHAnsi" w:cs="Arial"/>
          <w:color w:val="000000"/>
        </w:rPr>
        <w:t>(b) </w:t>
      </w:r>
      <w:r w:rsidRPr="00756681">
        <w:rPr>
          <w:rFonts w:asciiTheme="minorHAnsi" w:hAnsiTheme="minorHAnsi" w:cs="Arial"/>
          <w:color w:val="000000"/>
        </w:rPr>
        <w:tab/>
      </w:r>
      <w:proofErr w:type="gramStart"/>
      <w:r w:rsidRPr="00756681">
        <w:rPr>
          <w:rFonts w:asciiTheme="minorHAnsi" w:hAnsiTheme="minorHAnsi" w:cs="Arial"/>
          <w:color w:val="000000"/>
        </w:rPr>
        <w:t>to</w:t>
      </w:r>
      <w:proofErr w:type="gramEnd"/>
      <w:r w:rsidRPr="00756681">
        <w:rPr>
          <w:rFonts w:asciiTheme="minorHAnsi" w:hAnsiTheme="minorHAnsi" w:cs="Arial"/>
          <w:color w:val="000000"/>
        </w:rPr>
        <w:t xml:space="preserve"> make an order or direction under any enactment.</w:t>
      </w:r>
      <w:r w:rsidRPr="00756681">
        <w:rPr>
          <w:rFonts w:asciiTheme="minorHAnsi" w:hAnsiTheme="minorHAnsi" w:cs="Arial"/>
          <w:color w:val="000000"/>
        </w:rPr>
        <w:br/>
      </w:r>
      <w:r w:rsidRPr="00756681">
        <w:rPr>
          <w:rFonts w:asciiTheme="minorHAnsi" w:hAnsiTheme="minorHAnsi" w:cs="Arial"/>
          <w:color w:val="000000"/>
        </w:rPr>
        <w:br/>
        <w:t xml:space="preserve">7.  </w:t>
      </w:r>
      <w:r w:rsidRPr="00756681">
        <w:rPr>
          <w:rFonts w:asciiTheme="minorHAnsi" w:hAnsiTheme="minorHAnsi" w:cs="Arial"/>
          <w:color w:val="000000"/>
        </w:rPr>
        <w:tab/>
        <w:t>Information relating to any action take</w:t>
      </w:r>
      <w:r w:rsidR="000B6692">
        <w:rPr>
          <w:rFonts w:asciiTheme="minorHAnsi" w:hAnsiTheme="minorHAnsi" w:cs="Arial"/>
          <w:color w:val="000000"/>
        </w:rPr>
        <w:t xml:space="preserve">n or to </w:t>
      </w:r>
      <w:r w:rsidR="00D22207">
        <w:rPr>
          <w:rFonts w:asciiTheme="minorHAnsi" w:hAnsiTheme="minorHAnsi" w:cs="Arial"/>
          <w:color w:val="000000"/>
        </w:rPr>
        <w:t>be taken in connection with the</w:t>
      </w:r>
      <w:r w:rsidR="00D22207">
        <w:rPr>
          <w:rFonts w:asciiTheme="minorHAnsi" w:hAnsiTheme="minorHAnsi" w:cs="Arial"/>
          <w:color w:val="000000"/>
        </w:rPr>
        <w:tab/>
      </w:r>
      <w:r w:rsidRPr="00756681">
        <w:rPr>
          <w:rFonts w:asciiTheme="minorHAnsi" w:hAnsiTheme="minorHAnsi" w:cs="Arial"/>
          <w:color w:val="000000"/>
        </w:rPr>
        <w:t>prevention, investigation or prosecution of crime.</w:t>
      </w:r>
    </w:p>
    <w:p w:rsidR="00756681" w:rsidRPr="00756681" w:rsidRDefault="00756681" w:rsidP="00756681">
      <w:pPr>
        <w:jc w:val="both"/>
        <w:rPr>
          <w:rFonts w:asciiTheme="minorHAnsi" w:hAnsiTheme="minorHAnsi"/>
          <w:snapToGrid w:val="0"/>
          <w:color w:val="000000"/>
          <w:sz w:val="24"/>
          <w:szCs w:val="24"/>
          <w:lang w:eastAsia="en-US"/>
        </w:rPr>
      </w:pPr>
    </w:p>
    <w:p w:rsidR="000B6692" w:rsidRDefault="000B6692" w:rsidP="00756681">
      <w:pPr>
        <w:jc w:val="both"/>
        <w:rPr>
          <w:rFonts w:asciiTheme="minorHAnsi" w:hAnsiTheme="minorHAnsi"/>
          <w:b/>
          <w:snapToGrid w:val="0"/>
          <w:color w:val="000000"/>
          <w:sz w:val="24"/>
          <w:szCs w:val="24"/>
          <w:lang w:eastAsia="en-US"/>
        </w:rPr>
      </w:pPr>
    </w:p>
    <w:p w:rsidR="000B6692" w:rsidRDefault="000B6692" w:rsidP="00756681">
      <w:pPr>
        <w:jc w:val="both"/>
        <w:rPr>
          <w:rFonts w:asciiTheme="minorHAnsi" w:hAnsiTheme="minorHAnsi"/>
          <w:b/>
          <w:snapToGrid w:val="0"/>
          <w:color w:val="000000"/>
          <w:sz w:val="24"/>
          <w:szCs w:val="24"/>
          <w:lang w:eastAsia="en-US"/>
        </w:rPr>
      </w:pPr>
    </w:p>
    <w:p w:rsidR="00756681" w:rsidRPr="00756681" w:rsidRDefault="00D22207" w:rsidP="00756681">
      <w:pPr>
        <w:jc w:val="both"/>
        <w:rPr>
          <w:rFonts w:asciiTheme="minorHAnsi" w:hAnsiTheme="minorHAnsi"/>
          <w:b/>
          <w:snapToGrid w:val="0"/>
          <w:color w:val="000000"/>
          <w:sz w:val="24"/>
          <w:szCs w:val="24"/>
          <w:lang w:eastAsia="en-US"/>
        </w:rPr>
      </w:pPr>
      <w:r>
        <w:rPr>
          <w:rFonts w:asciiTheme="minorHAnsi" w:hAnsiTheme="minorHAnsi"/>
          <w:b/>
          <w:snapToGrid w:val="0"/>
          <w:color w:val="000000"/>
          <w:sz w:val="24"/>
          <w:szCs w:val="24"/>
          <w:lang w:eastAsia="en-US"/>
        </w:rPr>
        <w:lastRenderedPageBreak/>
        <w:t>5</w:t>
      </w:r>
      <w:r>
        <w:rPr>
          <w:rFonts w:asciiTheme="minorHAnsi" w:hAnsiTheme="minorHAnsi"/>
          <w:b/>
          <w:snapToGrid w:val="0"/>
          <w:color w:val="000000"/>
          <w:sz w:val="24"/>
          <w:szCs w:val="24"/>
          <w:lang w:eastAsia="en-US"/>
        </w:rPr>
        <w:tab/>
      </w:r>
      <w:r w:rsidR="00756681" w:rsidRPr="00756681">
        <w:rPr>
          <w:rFonts w:asciiTheme="minorHAnsi" w:hAnsiTheme="minorHAnsi"/>
          <w:b/>
          <w:snapToGrid w:val="0"/>
          <w:color w:val="000000"/>
          <w:sz w:val="24"/>
          <w:szCs w:val="24"/>
          <w:lang w:eastAsia="en-US"/>
        </w:rPr>
        <w:t>Qualifications</w:t>
      </w:r>
    </w:p>
    <w:p w:rsidR="00756681" w:rsidRPr="00756681" w:rsidRDefault="00756681" w:rsidP="00756681">
      <w:pPr>
        <w:jc w:val="both"/>
        <w:rPr>
          <w:rFonts w:asciiTheme="minorHAnsi" w:hAnsiTheme="minorHAnsi"/>
          <w:snapToGrid w:val="0"/>
          <w:color w:val="000000"/>
          <w:sz w:val="24"/>
          <w:szCs w:val="24"/>
          <w:lang w:eastAsia="en-US"/>
        </w:rPr>
      </w:pPr>
    </w:p>
    <w:p w:rsidR="00756681" w:rsidRPr="00756681" w:rsidRDefault="00756681" w:rsidP="00D22207">
      <w:pPr>
        <w:ind w:left="720" w:hanging="720"/>
        <w:jc w:val="both"/>
        <w:rPr>
          <w:rFonts w:asciiTheme="minorHAnsi" w:hAnsiTheme="minorHAnsi"/>
          <w:snapToGrid w:val="0"/>
          <w:color w:val="000000"/>
          <w:sz w:val="24"/>
          <w:szCs w:val="24"/>
          <w:lang w:eastAsia="en-US"/>
        </w:rPr>
      </w:pPr>
      <w:r w:rsidRPr="00756681">
        <w:rPr>
          <w:rFonts w:asciiTheme="minorHAnsi" w:hAnsiTheme="minorHAnsi"/>
          <w:snapToGrid w:val="0"/>
          <w:color w:val="000000"/>
          <w:sz w:val="24"/>
          <w:szCs w:val="24"/>
          <w:lang w:eastAsia="en-US"/>
        </w:rPr>
        <w:t>(a)</w:t>
      </w:r>
      <w:r w:rsidRPr="00756681">
        <w:rPr>
          <w:rFonts w:asciiTheme="minorHAnsi" w:hAnsiTheme="minorHAnsi"/>
          <w:snapToGrid w:val="0"/>
          <w:color w:val="000000"/>
          <w:sz w:val="24"/>
          <w:szCs w:val="24"/>
          <w:lang w:eastAsia="en-US"/>
        </w:rPr>
        <w:tab/>
        <w:t>Information relating to the financial or business affai</w:t>
      </w:r>
      <w:r w:rsidR="00D22207">
        <w:rPr>
          <w:rFonts w:asciiTheme="minorHAnsi" w:hAnsiTheme="minorHAnsi"/>
          <w:snapToGrid w:val="0"/>
          <w:color w:val="000000"/>
          <w:sz w:val="24"/>
          <w:szCs w:val="24"/>
          <w:lang w:eastAsia="en-US"/>
        </w:rPr>
        <w:t>rs of any particular person is</w:t>
      </w:r>
      <w:r w:rsidR="00D22207">
        <w:rPr>
          <w:rFonts w:asciiTheme="minorHAnsi" w:hAnsiTheme="minorHAnsi"/>
          <w:snapToGrid w:val="0"/>
          <w:color w:val="000000"/>
          <w:sz w:val="24"/>
          <w:szCs w:val="24"/>
          <w:lang w:eastAsia="en-US"/>
        </w:rPr>
        <w:tab/>
        <w:t xml:space="preserve"> </w:t>
      </w:r>
      <w:r w:rsidRPr="00756681">
        <w:rPr>
          <w:rFonts w:asciiTheme="minorHAnsi" w:hAnsiTheme="minorHAnsi"/>
          <w:snapToGrid w:val="0"/>
          <w:color w:val="000000"/>
          <w:sz w:val="24"/>
          <w:szCs w:val="24"/>
          <w:lang w:eastAsia="en-US"/>
        </w:rPr>
        <w:t>not exempt if it is requir</w:t>
      </w:r>
      <w:r w:rsidR="000B6692">
        <w:rPr>
          <w:rFonts w:asciiTheme="minorHAnsi" w:hAnsiTheme="minorHAnsi"/>
          <w:snapToGrid w:val="0"/>
          <w:color w:val="000000"/>
          <w:sz w:val="24"/>
          <w:szCs w:val="24"/>
          <w:lang w:eastAsia="en-US"/>
        </w:rPr>
        <w:t>ed to be registered under: the Companies Act 2006</w:t>
      </w:r>
      <w:r w:rsidR="00D22207">
        <w:rPr>
          <w:rFonts w:asciiTheme="minorHAnsi" w:hAnsiTheme="minorHAnsi"/>
          <w:snapToGrid w:val="0"/>
          <w:color w:val="000000"/>
          <w:sz w:val="24"/>
          <w:szCs w:val="24"/>
          <w:lang w:eastAsia="en-US"/>
        </w:rPr>
        <w:t xml:space="preserve">; the </w:t>
      </w:r>
      <w:r w:rsidRPr="00756681">
        <w:rPr>
          <w:rFonts w:asciiTheme="minorHAnsi" w:hAnsiTheme="minorHAnsi"/>
          <w:snapToGrid w:val="0"/>
          <w:color w:val="000000"/>
          <w:sz w:val="24"/>
          <w:szCs w:val="24"/>
          <w:lang w:eastAsia="en-US"/>
        </w:rPr>
        <w:t>Friendly So</w:t>
      </w:r>
      <w:r w:rsidR="000B6692">
        <w:rPr>
          <w:rFonts w:asciiTheme="minorHAnsi" w:hAnsiTheme="minorHAnsi"/>
          <w:snapToGrid w:val="0"/>
          <w:color w:val="000000"/>
          <w:sz w:val="24"/>
          <w:szCs w:val="24"/>
          <w:lang w:eastAsia="en-US"/>
        </w:rPr>
        <w:t xml:space="preserve">cieties Act 1974; the Friendly </w:t>
      </w:r>
      <w:r w:rsidRPr="00756681">
        <w:rPr>
          <w:rFonts w:asciiTheme="minorHAnsi" w:hAnsiTheme="minorHAnsi"/>
          <w:snapToGrid w:val="0"/>
          <w:color w:val="000000"/>
          <w:sz w:val="24"/>
          <w:szCs w:val="24"/>
          <w:lang w:eastAsia="en-US"/>
        </w:rPr>
        <w:t>Societi</w:t>
      </w:r>
      <w:r w:rsidR="00D22207">
        <w:rPr>
          <w:rFonts w:asciiTheme="minorHAnsi" w:hAnsiTheme="minorHAnsi"/>
          <w:snapToGrid w:val="0"/>
          <w:color w:val="000000"/>
          <w:sz w:val="24"/>
          <w:szCs w:val="24"/>
          <w:lang w:eastAsia="en-US"/>
        </w:rPr>
        <w:t xml:space="preserve">es Act 1992; the Industrial and </w:t>
      </w:r>
      <w:r w:rsidRPr="00756681">
        <w:rPr>
          <w:rFonts w:asciiTheme="minorHAnsi" w:hAnsiTheme="minorHAnsi"/>
          <w:snapToGrid w:val="0"/>
          <w:color w:val="000000"/>
          <w:sz w:val="24"/>
          <w:szCs w:val="24"/>
          <w:lang w:eastAsia="en-US"/>
        </w:rPr>
        <w:t>Provident Societi</w:t>
      </w:r>
      <w:r w:rsidR="000B6692">
        <w:rPr>
          <w:rFonts w:asciiTheme="minorHAnsi" w:hAnsiTheme="minorHAnsi"/>
          <w:snapToGrid w:val="0"/>
          <w:color w:val="000000"/>
          <w:sz w:val="24"/>
          <w:szCs w:val="24"/>
          <w:lang w:eastAsia="en-US"/>
        </w:rPr>
        <w:t xml:space="preserve">es Acts 1965 to </w:t>
      </w:r>
      <w:r w:rsidRPr="00756681">
        <w:rPr>
          <w:rFonts w:asciiTheme="minorHAnsi" w:hAnsiTheme="minorHAnsi"/>
          <w:snapToGrid w:val="0"/>
          <w:color w:val="000000"/>
          <w:sz w:val="24"/>
          <w:szCs w:val="24"/>
          <w:lang w:eastAsia="en-US"/>
        </w:rPr>
        <w:t>1978; the Building Socie</w:t>
      </w:r>
      <w:r w:rsidR="00D22207">
        <w:rPr>
          <w:rFonts w:asciiTheme="minorHAnsi" w:hAnsiTheme="minorHAnsi"/>
          <w:snapToGrid w:val="0"/>
          <w:color w:val="000000"/>
          <w:sz w:val="24"/>
          <w:szCs w:val="24"/>
          <w:lang w:eastAsia="en-US"/>
        </w:rPr>
        <w:t xml:space="preserve">ties Act 1986; or the Charities </w:t>
      </w:r>
      <w:r w:rsidRPr="00756681">
        <w:rPr>
          <w:rFonts w:asciiTheme="minorHAnsi" w:hAnsiTheme="minorHAnsi"/>
          <w:snapToGrid w:val="0"/>
          <w:color w:val="000000"/>
          <w:sz w:val="24"/>
          <w:szCs w:val="24"/>
          <w:lang w:eastAsia="en-US"/>
        </w:rPr>
        <w:t>Act 1993.</w:t>
      </w:r>
    </w:p>
    <w:p w:rsidR="00756681" w:rsidRPr="00756681" w:rsidRDefault="00756681" w:rsidP="00D22207">
      <w:pPr>
        <w:jc w:val="both"/>
        <w:rPr>
          <w:rFonts w:asciiTheme="minorHAnsi" w:hAnsiTheme="minorHAnsi"/>
          <w:b/>
          <w:snapToGrid w:val="0"/>
          <w:color w:val="000000"/>
          <w:sz w:val="24"/>
          <w:szCs w:val="24"/>
          <w:lang w:eastAsia="en-US"/>
        </w:rPr>
      </w:pPr>
    </w:p>
    <w:p w:rsidR="00756681" w:rsidRPr="00756681" w:rsidRDefault="00D22207" w:rsidP="00D22207">
      <w:pPr>
        <w:jc w:val="both"/>
        <w:rPr>
          <w:rFonts w:asciiTheme="minorHAnsi" w:hAnsiTheme="minorHAnsi"/>
          <w:snapToGrid w:val="0"/>
          <w:color w:val="000000"/>
          <w:sz w:val="24"/>
          <w:szCs w:val="24"/>
          <w:lang w:eastAsia="en-US"/>
        </w:rPr>
      </w:pPr>
      <w:r>
        <w:rPr>
          <w:rFonts w:asciiTheme="minorHAnsi" w:hAnsiTheme="minorHAnsi"/>
          <w:snapToGrid w:val="0"/>
          <w:color w:val="000000"/>
          <w:sz w:val="24"/>
          <w:szCs w:val="24"/>
          <w:lang w:eastAsia="en-US"/>
        </w:rPr>
        <w:t>(b</w:t>
      </w:r>
      <w:r w:rsidR="00756681" w:rsidRPr="00756681">
        <w:rPr>
          <w:rFonts w:asciiTheme="minorHAnsi" w:hAnsiTheme="minorHAnsi"/>
          <w:snapToGrid w:val="0"/>
          <w:color w:val="000000"/>
          <w:sz w:val="24"/>
          <w:szCs w:val="24"/>
          <w:lang w:eastAsia="en-US"/>
        </w:rPr>
        <w:t>)</w:t>
      </w:r>
      <w:r w:rsidR="00756681" w:rsidRPr="00756681">
        <w:rPr>
          <w:rFonts w:asciiTheme="minorHAnsi" w:hAnsiTheme="minorHAnsi"/>
          <w:snapToGrid w:val="0"/>
          <w:color w:val="000000"/>
          <w:sz w:val="24"/>
          <w:szCs w:val="24"/>
          <w:lang w:eastAsia="en-US"/>
        </w:rPr>
        <w:tab/>
        <w:t xml:space="preserve">Information in one of the seven categories </w:t>
      </w:r>
      <w:r w:rsidR="000B6692">
        <w:rPr>
          <w:rFonts w:asciiTheme="minorHAnsi" w:hAnsiTheme="minorHAnsi"/>
          <w:snapToGrid w:val="0"/>
          <w:color w:val="000000"/>
          <w:sz w:val="24"/>
          <w:szCs w:val="24"/>
          <w:lang w:eastAsia="en-US"/>
        </w:rPr>
        <w:t xml:space="preserve">of exempt information </w:t>
      </w:r>
      <w:r>
        <w:rPr>
          <w:rFonts w:asciiTheme="minorHAnsi" w:hAnsiTheme="minorHAnsi"/>
          <w:snapToGrid w:val="0"/>
          <w:color w:val="000000"/>
          <w:sz w:val="24"/>
          <w:szCs w:val="24"/>
          <w:lang w:eastAsia="en-US"/>
        </w:rPr>
        <w:t>which is not</w:t>
      </w:r>
      <w:r>
        <w:rPr>
          <w:rFonts w:asciiTheme="minorHAnsi" w:hAnsiTheme="minorHAnsi"/>
          <w:snapToGrid w:val="0"/>
          <w:color w:val="000000"/>
          <w:sz w:val="24"/>
          <w:szCs w:val="24"/>
          <w:lang w:eastAsia="en-US"/>
        </w:rPr>
        <w:tab/>
      </w:r>
      <w:r w:rsidR="00756681" w:rsidRPr="00756681">
        <w:rPr>
          <w:rFonts w:asciiTheme="minorHAnsi" w:hAnsiTheme="minorHAnsi"/>
          <w:snapToGrid w:val="0"/>
          <w:color w:val="000000"/>
          <w:sz w:val="24"/>
          <w:szCs w:val="24"/>
          <w:lang w:eastAsia="en-US"/>
        </w:rPr>
        <w:t>prevented from being exem</w:t>
      </w:r>
      <w:r w:rsidR="000B6692">
        <w:rPr>
          <w:rFonts w:asciiTheme="minorHAnsi" w:hAnsiTheme="minorHAnsi"/>
          <w:snapToGrid w:val="0"/>
          <w:color w:val="000000"/>
          <w:sz w:val="24"/>
          <w:szCs w:val="24"/>
          <w:lang w:eastAsia="en-US"/>
        </w:rPr>
        <w:t xml:space="preserve">pt by definition of point (a) </w:t>
      </w:r>
      <w:r>
        <w:rPr>
          <w:rFonts w:asciiTheme="minorHAnsi" w:hAnsiTheme="minorHAnsi"/>
          <w:snapToGrid w:val="0"/>
          <w:color w:val="000000"/>
          <w:sz w:val="24"/>
          <w:szCs w:val="24"/>
          <w:lang w:eastAsia="en-US"/>
        </w:rPr>
        <w:t>described above is exempt if</w:t>
      </w:r>
      <w:r>
        <w:rPr>
          <w:rFonts w:asciiTheme="minorHAnsi" w:hAnsiTheme="minorHAnsi"/>
          <w:snapToGrid w:val="0"/>
          <w:color w:val="000000"/>
          <w:sz w:val="24"/>
          <w:szCs w:val="24"/>
          <w:lang w:eastAsia="en-US"/>
        </w:rPr>
        <w:tab/>
      </w:r>
      <w:r w:rsidR="00756681" w:rsidRPr="00756681">
        <w:rPr>
          <w:rFonts w:asciiTheme="minorHAnsi" w:hAnsiTheme="minorHAnsi"/>
          <w:snapToGrid w:val="0"/>
          <w:color w:val="000000"/>
          <w:sz w:val="24"/>
          <w:szCs w:val="24"/>
          <w:lang w:eastAsia="en-US"/>
        </w:rPr>
        <w:t>the public interest in maintaining the</w:t>
      </w:r>
      <w:r w:rsidR="000B6692">
        <w:rPr>
          <w:rFonts w:asciiTheme="minorHAnsi" w:hAnsiTheme="minorHAnsi"/>
          <w:snapToGrid w:val="0"/>
          <w:color w:val="000000"/>
          <w:sz w:val="24"/>
          <w:szCs w:val="24"/>
          <w:lang w:eastAsia="en-US"/>
        </w:rPr>
        <w:t xml:space="preserve"> </w:t>
      </w:r>
      <w:r w:rsidR="00756681" w:rsidRPr="00756681">
        <w:rPr>
          <w:rFonts w:asciiTheme="minorHAnsi" w:hAnsiTheme="minorHAnsi"/>
          <w:snapToGrid w:val="0"/>
          <w:color w:val="000000"/>
          <w:sz w:val="24"/>
          <w:szCs w:val="24"/>
          <w:lang w:eastAsia="en-US"/>
        </w:rPr>
        <w:t>exemption o</w:t>
      </w:r>
      <w:r>
        <w:rPr>
          <w:rFonts w:asciiTheme="minorHAnsi" w:hAnsiTheme="minorHAnsi"/>
          <w:snapToGrid w:val="0"/>
          <w:color w:val="000000"/>
          <w:sz w:val="24"/>
          <w:szCs w:val="24"/>
          <w:lang w:eastAsia="en-US"/>
        </w:rPr>
        <w:t>utweighs the public interest in</w:t>
      </w:r>
      <w:r>
        <w:rPr>
          <w:rFonts w:asciiTheme="minorHAnsi" w:hAnsiTheme="minorHAnsi"/>
          <w:snapToGrid w:val="0"/>
          <w:color w:val="000000"/>
          <w:sz w:val="24"/>
          <w:szCs w:val="24"/>
          <w:lang w:eastAsia="en-US"/>
        </w:rPr>
        <w:tab/>
      </w:r>
      <w:r w:rsidR="00756681" w:rsidRPr="00756681">
        <w:rPr>
          <w:rFonts w:asciiTheme="minorHAnsi" w:hAnsiTheme="minorHAnsi"/>
          <w:snapToGrid w:val="0"/>
          <w:color w:val="000000"/>
          <w:sz w:val="24"/>
          <w:szCs w:val="24"/>
          <w:lang w:eastAsia="en-US"/>
        </w:rPr>
        <w:t>disclosing it.</w:t>
      </w:r>
    </w:p>
    <w:p w:rsidR="00756681" w:rsidRPr="00756681" w:rsidRDefault="00756681" w:rsidP="00756681">
      <w:pPr>
        <w:jc w:val="both"/>
        <w:rPr>
          <w:rFonts w:asciiTheme="minorHAnsi" w:hAnsiTheme="minorHAnsi"/>
          <w:snapToGrid w:val="0"/>
          <w:color w:val="000000"/>
          <w:sz w:val="24"/>
          <w:szCs w:val="24"/>
          <w:lang w:eastAsia="en-US"/>
        </w:rPr>
      </w:pPr>
    </w:p>
    <w:p w:rsidR="000B6692" w:rsidRDefault="00D22207">
      <w:pPr>
        <w:rPr>
          <w:rFonts w:asciiTheme="minorHAnsi" w:hAnsiTheme="minorHAnsi"/>
          <w:b/>
          <w:sz w:val="24"/>
          <w:szCs w:val="24"/>
        </w:rPr>
      </w:pPr>
      <w:r>
        <w:rPr>
          <w:rFonts w:asciiTheme="minorHAnsi" w:hAnsiTheme="minorHAnsi"/>
          <w:b/>
          <w:sz w:val="24"/>
          <w:szCs w:val="24"/>
        </w:rPr>
        <w:t>6</w:t>
      </w:r>
      <w:r>
        <w:rPr>
          <w:rFonts w:asciiTheme="minorHAnsi" w:hAnsiTheme="minorHAnsi"/>
          <w:b/>
          <w:sz w:val="24"/>
          <w:szCs w:val="24"/>
        </w:rPr>
        <w:tab/>
        <w:t>Process for Handing Information</w:t>
      </w:r>
    </w:p>
    <w:p w:rsidR="00D22207" w:rsidRDefault="00D22207">
      <w:pPr>
        <w:rPr>
          <w:rFonts w:asciiTheme="minorHAnsi" w:hAnsiTheme="minorHAnsi"/>
          <w:b/>
          <w:sz w:val="24"/>
          <w:szCs w:val="24"/>
        </w:rPr>
      </w:pPr>
    </w:p>
    <w:p w:rsidR="00D22207" w:rsidRPr="00D22207" w:rsidRDefault="00D22207" w:rsidP="00D22207">
      <w:pPr>
        <w:pStyle w:val="ListParagraph"/>
        <w:numPr>
          <w:ilvl w:val="0"/>
          <w:numId w:val="7"/>
        </w:numPr>
        <w:rPr>
          <w:rFonts w:asciiTheme="minorHAnsi" w:hAnsiTheme="minorHAnsi"/>
          <w:b/>
          <w:sz w:val="24"/>
          <w:szCs w:val="24"/>
        </w:rPr>
      </w:pPr>
      <w:r>
        <w:rPr>
          <w:rFonts w:asciiTheme="minorHAnsi" w:hAnsiTheme="minorHAnsi"/>
          <w:sz w:val="24"/>
          <w:szCs w:val="24"/>
        </w:rPr>
        <w:t>Documents shall be accessed against the above criteria and must be considered to match the criteria in order to be deemed confidential.</w:t>
      </w:r>
    </w:p>
    <w:p w:rsidR="00D22207" w:rsidRPr="00D22207" w:rsidRDefault="00D22207" w:rsidP="00D22207">
      <w:pPr>
        <w:pStyle w:val="ListParagraph"/>
        <w:numPr>
          <w:ilvl w:val="0"/>
          <w:numId w:val="7"/>
        </w:numPr>
        <w:rPr>
          <w:rFonts w:asciiTheme="minorHAnsi" w:hAnsiTheme="minorHAnsi"/>
          <w:b/>
          <w:sz w:val="24"/>
          <w:szCs w:val="24"/>
        </w:rPr>
      </w:pPr>
      <w:r>
        <w:rPr>
          <w:rFonts w:asciiTheme="minorHAnsi" w:hAnsiTheme="minorHAnsi"/>
          <w:sz w:val="24"/>
          <w:szCs w:val="24"/>
        </w:rPr>
        <w:t>In the event a document is assessed as being confidential it shall be marked as such listing the appropriate Local Government Act 1972 exemption.</w:t>
      </w:r>
    </w:p>
    <w:p w:rsidR="00D22207" w:rsidRPr="00D22207" w:rsidRDefault="00D22207" w:rsidP="00D22207">
      <w:pPr>
        <w:pStyle w:val="ListParagraph"/>
        <w:numPr>
          <w:ilvl w:val="0"/>
          <w:numId w:val="7"/>
        </w:numPr>
        <w:rPr>
          <w:rFonts w:asciiTheme="minorHAnsi" w:hAnsiTheme="minorHAnsi"/>
          <w:b/>
          <w:sz w:val="24"/>
          <w:szCs w:val="24"/>
        </w:rPr>
      </w:pPr>
      <w:r>
        <w:rPr>
          <w:rFonts w:asciiTheme="minorHAnsi" w:hAnsiTheme="minorHAnsi"/>
          <w:sz w:val="24"/>
          <w:szCs w:val="24"/>
        </w:rPr>
        <w:t>The reason for exemption shall be published on the LEP website within the relevant agenda papers section.</w:t>
      </w:r>
    </w:p>
    <w:sectPr w:rsidR="00D22207" w:rsidRPr="00D22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E83"/>
    <w:multiLevelType w:val="singleLevel"/>
    <w:tmpl w:val="DBBEC9C4"/>
    <w:lvl w:ilvl="0">
      <w:start w:val="1"/>
      <w:numFmt w:val="lowerLetter"/>
      <w:lvlText w:val="(%1)"/>
      <w:lvlJc w:val="left"/>
      <w:pPr>
        <w:tabs>
          <w:tab w:val="num" w:pos="720"/>
        </w:tabs>
        <w:ind w:left="720" w:hanging="720"/>
      </w:pPr>
    </w:lvl>
  </w:abstractNum>
  <w:abstractNum w:abstractNumId="1" w15:restartNumberingAfterBreak="0">
    <w:nsid w:val="2FCA261B"/>
    <w:multiLevelType w:val="hybridMultilevel"/>
    <w:tmpl w:val="0D32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974D29"/>
    <w:multiLevelType w:val="hybridMultilevel"/>
    <w:tmpl w:val="BB0C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0AF3"/>
    <w:multiLevelType w:val="hybridMultilevel"/>
    <w:tmpl w:val="580A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D05CE"/>
    <w:multiLevelType w:val="hybridMultilevel"/>
    <w:tmpl w:val="C54EF7A8"/>
    <w:lvl w:ilvl="0" w:tplc="6CE85A78">
      <w:start w:val="1"/>
      <w:numFmt w:val="lowerLetter"/>
      <w:lvlText w:val="(%1)"/>
      <w:lvlJc w:val="left"/>
      <w:pPr>
        <w:ind w:left="1387" w:hanging="360"/>
      </w:pPr>
    </w:lvl>
    <w:lvl w:ilvl="1" w:tplc="08090019">
      <w:start w:val="1"/>
      <w:numFmt w:val="lowerLetter"/>
      <w:lvlText w:val="%2."/>
      <w:lvlJc w:val="left"/>
      <w:pPr>
        <w:ind w:left="2107" w:hanging="360"/>
      </w:pPr>
    </w:lvl>
    <w:lvl w:ilvl="2" w:tplc="0809001B">
      <w:start w:val="1"/>
      <w:numFmt w:val="lowerRoman"/>
      <w:lvlText w:val="%3."/>
      <w:lvlJc w:val="right"/>
      <w:pPr>
        <w:ind w:left="2827" w:hanging="180"/>
      </w:pPr>
    </w:lvl>
    <w:lvl w:ilvl="3" w:tplc="0809000F">
      <w:start w:val="1"/>
      <w:numFmt w:val="decimal"/>
      <w:lvlText w:val="%4."/>
      <w:lvlJc w:val="left"/>
      <w:pPr>
        <w:ind w:left="3547" w:hanging="360"/>
      </w:pPr>
    </w:lvl>
    <w:lvl w:ilvl="4" w:tplc="08090019">
      <w:start w:val="1"/>
      <w:numFmt w:val="lowerLetter"/>
      <w:lvlText w:val="%5."/>
      <w:lvlJc w:val="left"/>
      <w:pPr>
        <w:ind w:left="4267" w:hanging="360"/>
      </w:pPr>
    </w:lvl>
    <w:lvl w:ilvl="5" w:tplc="0809001B">
      <w:start w:val="1"/>
      <w:numFmt w:val="lowerRoman"/>
      <w:lvlText w:val="%6."/>
      <w:lvlJc w:val="right"/>
      <w:pPr>
        <w:ind w:left="4987" w:hanging="180"/>
      </w:pPr>
    </w:lvl>
    <w:lvl w:ilvl="6" w:tplc="0809000F">
      <w:start w:val="1"/>
      <w:numFmt w:val="decimal"/>
      <w:lvlText w:val="%7."/>
      <w:lvlJc w:val="left"/>
      <w:pPr>
        <w:ind w:left="5707" w:hanging="360"/>
      </w:pPr>
    </w:lvl>
    <w:lvl w:ilvl="7" w:tplc="08090019">
      <w:start w:val="1"/>
      <w:numFmt w:val="lowerLetter"/>
      <w:lvlText w:val="%8."/>
      <w:lvlJc w:val="left"/>
      <w:pPr>
        <w:ind w:left="6427" w:hanging="360"/>
      </w:pPr>
    </w:lvl>
    <w:lvl w:ilvl="8" w:tplc="0809001B">
      <w:start w:val="1"/>
      <w:numFmt w:val="lowerRoman"/>
      <w:lvlText w:val="%9."/>
      <w:lvlJc w:val="right"/>
      <w:pPr>
        <w:ind w:left="7147" w:hanging="180"/>
      </w:pPr>
    </w:lvl>
  </w:abstractNum>
  <w:abstractNum w:abstractNumId="5" w15:restartNumberingAfterBreak="0">
    <w:nsid w:val="6F555DB9"/>
    <w:multiLevelType w:val="hybridMultilevel"/>
    <w:tmpl w:val="E62CB8B6"/>
    <w:lvl w:ilvl="0" w:tplc="5E0C6FE4">
      <w:start w:val="1"/>
      <w:numFmt w:val="lowerLetter"/>
      <w:lvlText w:val="(%1)"/>
      <w:lvlJc w:val="left"/>
      <w:pPr>
        <w:ind w:left="1803" w:hanging="363"/>
      </w:pPr>
    </w:lvl>
    <w:lvl w:ilvl="1" w:tplc="08090019">
      <w:start w:val="1"/>
      <w:numFmt w:val="lowerLetter"/>
      <w:lvlText w:val="%2."/>
      <w:lvlJc w:val="left"/>
      <w:pPr>
        <w:ind w:left="2379" w:hanging="360"/>
      </w:pPr>
    </w:lvl>
    <w:lvl w:ilvl="2" w:tplc="0809001B">
      <w:start w:val="1"/>
      <w:numFmt w:val="lowerRoman"/>
      <w:lvlText w:val="%3."/>
      <w:lvlJc w:val="right"/>
      <w:pPr>
        <w:ind w:left="3099" w:hanging="180"/>
      </w:pPr>
    </w:lvl>
    <w:lvl w:ilvl="3" w:tplc="0809000F">
      <w:start w:val="1"/>
      <w:numFmt w:val="decimal"/>
      <w:lvlText w:val="%4."/>
      <w:lvlJc w:val="left"/>
      <w:pPr>
        <w:ind w:left="3819" w:hanging="360"/>
      </w:pPr>
    </w:lvl>
    <w:lvl w:ilvl="4" w:tplc="08090019">
      <w:start w:val="1"/>
      <w:numFmt w:val="lowerLetter"/>
      <w:lvlText w:val="%5."/>
      <w:lvlJc w:val="left"/>
      <w:pPr>
        <w:ind w:left="4539" w:hanging="360"/>
      </w:pPr>
    </w:lvl>
    <w:lvl w:ilvl="5" w:tplc="0809001B">
      <w:start w:val="1"/>
      <w:numFmt w:val="lowerRoman"/>
      <w:lvlText w:val="%6."/>
      <w:lvlJc w:val="right"/>
      <w:pPr>
        <w:ind w:left="5259" w:hanging="180"/>
      </w:pPr>
    </w:lvl>
    <w:lvl w:ilvl="6" w:tplc="0809000F">
      <w:start w:val="1"/>
      <w:numFmt w:val="decimal"/>
      <w:lvlText w:val="%7."/>
      <w:lvlJc w:val="left"/>
      <w:pPr>
        <w:ind w:left="5979" w:hanging="360"/>
      </w:pPr>
    </w:lvl>
    <w:lvl w:ilvl="7" w:tplc="08090019">
      <w:start w:val="1"/>
      <w:numFmt w:val="lowerLetter"/>
      <w:lvlText w:val="%8."/>
      <w:lvlJc w:val="left"/>
      <w:pPr>
        <w:ind w:left="6699" w:hanging="360"/>
      </w:pPr>
    </w:lvl>
    <w:lvl w:ilvl="8" w:tplc="0809001B">
      <w:start w:val="1"/>
      <w:numFmt w:val="lowerRoman"/>
      <w:lvlText w:val="%9."/>
      <w:lvlJc w:val="right"/>
      <w:pPr>
        <w:ind w:left="7419" w:hanging="180"/>
      </w:pPr>
    </w:lvl>
  </w:abstractNum>
  <w:num w:numId="1">
    <w:abstractNumId w:val="0"/>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1"/>
    <w:rsid w:val="000B6692"/>
    <w:rsid w:val="00756681"/>
    <w:rsid w:val="008277DA"/>
    <w:rsid w:val="00A32336"/>
    <w:rsid w:val="00B11C31"/>
    <w:rsid w:val="00C32461"/>
    <w:rsid w:val="00D22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7242"/>
  <w15:chartTrackingRefBased/>
  <w15:docId w15:val="{4EDB0748-BD0E-405F-A143-5D86F954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81"/>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56681"/>
    <w:pPr>
      <w:keepNext/>
      <w:snapToGrid w:val="0"/>
      <w:outlineLvl w:val="0"/>
    </w:pPr>
    <w:rPr>
      <w:rFonts w:ascii="Arial" w:hAnsi="Arial"/>
      <w:sz w:val="42"/>
      <w:lang w:eastAsia="en-US"/>
    </w:rPr>
  </w:style>
  <w:style w:type="paragraph" w:styleId="Heading2">
    <w:name w:val="heading 2"/>
    <w:basedOn w:val="Normal"/>
    <w:next w:val="Normal"/>
    <w:link w:val="Heading2Char"/>
    <w:semiHidden/>
    <w:unhideWhenUsed/>
    <w:qFormat/>
    <w:rsid w:val="00756681"/>
    <w:pPr>
      <w:keepNext/>
      <w:widowControl w:val="0"/>
      <w:autoSpaceDE w:val="0"/>
      <w:autoSpaceDN w:val="0"/>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6681"/>
    <w:rPr>
      <w:rFonts w:ascii="Arial" w:eastAsia="Times New Roman" w:hAnsi="Arial" w:cs="Times New Roman"/>
      <w:sz w:val="42"/>
      <w:szCs w:val="20"/>
    </w:rPr>
  </w:style>
  <w:style w:type="character" w:customStyle="1" w:styleId="Heading2Char">
    <w:name w:val="Heading 2 Char"/>
    <w:basedOn w:val="DefaultParagraphFont"/>
    <w:link w:val="Heading2"/>
    <w:semiHidden/>
    <w:rsid w:val="00756681"/>
    <w:rPr>
      <w:rFonts w:ascii="Arial" w:eastAsia="Times New Roman" w:hAnsi="Arial" w:cs="Arial"/>
      <w:b/>
      <w:bCs/>
      <w:i/>
      <w:iCs/>
      <w:sz w:val="28"/>
      <w:szCs w:val="28"/>
      <w:lang w:eastAsia="en-GB"/>
    </w:rPr>
  </w:style>
  <w:style w:type="character" w:styleId="Hyperlink">
    <w:name w:val="Hyperlink"/>
    <w:unhideWhenUsed/>
    <w:rsid w:val="00756681"/>
    <w:rPr>
      <w:color w:val="0000FF"/>
      <w:u w:val="single"/>
    </w:rPr>
  </w:style>
  <w:style w:type="paragraph" w:styleId="NormalWeb">
    <w:name w:val="Normal (Web)"/>
    <w:basedOn w:val="Normal"/>
    <w:semiHidden/>
    <w:unhideWhenUsed/>
    <w:rsid w:val="00756681"/>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756681"/>
  </w:style>
  <w:style w:type="character" w:customStyle="1" w:styleId="CommentTextChar">
    <w:name w:val="Comment Text Char"/>
    <w:basedOn w:val="DefaultParagraphFont"/>
    <w:link w:val="CommentText"/>
    <w:uiPriority w:val="99"/>
    <w:semiHidden/>
    <w:rsid w:val="00756681"/>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semiHidden/>
    <w:unhideWhenUsed/>
    <w:rsid w:val="00756681"/>
    <w:pPr>
      <w:snapToGrid w:val="0"/>
      <w:ind w:left="720" w:hanging="720"/>
    </w:pPr>
    <w:rPr>
      <w:rFonts w:ascii="Arial" w:hAnsi="Arial"/>
      <w:color w:val="000000"/>
      <w:sz w:val="22"/>
      <w:lang w:eastAsia="en-US"/>
    </w:rPr>
  </w:style>
  <w:style w:type="character" w:customStyle="1" w:styleId="BodyTextIndentChar">
    <w:name w:val="Body Text Indent Char"/>
    <w:basedOn w:val="DefaultParagraphFont"/>
    <w:link w:val="BodyTextIndent"/>
    <w:semiHidden/>
    <w:rsid w:val="00756681"/>
    <w:rPr>
      <w:rFonts w:ascii="Arial" w:eastAsia="Times New Roman" w:hAnsi="Arial" w:cs="Times New Roman"/>
      <w:color w:val="000000"/>
      <w:szCs w:val="20"/>
    </w:rPr>
  </w:style>
  <w:style w:type="paragraph" w:styleId="BodyText3">
    <w:name w:val="Body Text 3"/>
    <w:basedOn w:val="Normal"/>
    <w:link w:val="BodyText3Char"/>
    <w:semiHidden/>
    <w:unhideWhenUsed/>
    <w:rsid w:val="00756681"/>
    <w:pPr>
      <w:snapToGrid w:val="0"/>
      <w:jc w:val="both"/>
    </w:pPr>
    <w:rPr>
      <w:rFonts w:ascii="Arial" w:hAnsi="Arial"/>
      <w:b/>
      <w:color w:val="000000"/>
      <w:sz w:val="24"/>
      <w:lang w:eastAsia="en-US"/>
    </w:rPr>
  </w:style>
  <w:style w:type="character" w:customStyle="1" w:styleId="BodyText3Char">
    <w:name w:val="Body Text 3 Char"/>
    <w:basedOn w:val="DefaultParagraphFont"/>
    <w:link w:val="BodyText3"/>
    <w:semiHidden/>
    <w:rsid w:val="00756681"/>
    <w:rPr>
      <w:rFonts w:ascii="Arial" w:eastAsia="Times New Roman" w:hAnsi="Arial" w:cs="Times New Roman"/>
      <w:b/>
      <w:color w:val="000000"/>
      <w:sz w:val="24"/>
      <w:szCs w:val="20"/>
    </w:rPr>
  </w:style>
  <w:style w:type="paragraph" w:styleId="BodyTextIndent3">
    <w:name w:val="Body Text Indent 3"/>
    <w:basedOn w:val="Normal"/>
    <w:link w:val="BodyTextIndent3Char"/>
    <w:semiHidden/>
    <w:unhideWhenUsed/>
    <w:rsid w:val="00756681"/>
    <w:pPr>
      <w:snapToGrid w:val="0"/>
      <w:ind w:left="1418" w:hanging="709"/>
      <w:jc w:val="both"/>
    </w:pPr>
    <w:rPr>
      <w:rFonts w:ascii="Arial" w:hAnsi="Arial"/>
      <w:color w:val="000000"/>
      <w:sz w:val="24"/>
      <w:lang w:eastAsia="en-US"/>
    </w:rPr>
  </w:style>
  <w:style w:type="character" w:customStyle="1" w:styleId="BodyTextIndent3Char">
    <w:name w:val="Body Text Indent 3 Char"/>
    <w:basedOn w:val="DefaultParagraphFont"/>
    <w:link w:val="BodyTextIndent3"/>
    <w:semiHidden/>
    <w:rsid w:val="00756681"/>
    <w:rPr>
      <w:rFonts w:ascii="Arial" w:eastAsia="Times New Roman" w:hAnsi="Arial" w:cs="Times New Roman"/>
      <w:color w:val="000000"/>
      <w:sz w:val="24"/>
      <w:szCs w:val="20"/>
    </w:rPr>
  </w:style>
  <w:style w:type="paragraph" w:styleId="ListParagraph">
    <w:name w:val="List Paragraph"/>
    <w:basedOn w:val="Normal"/>
    <w:uiPriority w:val="34"/>
    <w:qFormat/>
    <w:rsid w:val="0075668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7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2/70/section/100A" TargetMode="External"/><Relationship Id="rId3" Type="http://schemas.openxmlformats.org/officeDocument/2006/relationships/settings" Target="settings.xml"/><Relationship Id="rId7" Type="http://schemas.openxmlformats.org/officeDocument/2006/relationships/hyperlink" Target="http://www.legislation.gov.uk/uksi/2012/2089/pdfs/uksi_20122089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ncashirelep.co.uk/about/registers-of-interest/" TargetMode="External"/><Relationship Id="rId5" Type="http://schemas.openxmlformats.org/officeDocument/2006/relationships/hyperlink" Target="http://www.legislation.gov.uk/ukpga/1972/70/section/100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Milroy, Andy</dc:creator>
  <cp:keywords/>
  <dc:description/>
  <cp:lastModifiedBy>Milroy, Andy</cp:lastModifiedBy>
  <cp:revision>2</cp:revision>
  <dcterms:created xsi:type="dcterms:W3CDTF">2019-07-03T10:41:00Z</dcterms:created>
  <dcterms:modified xsi:type="dcterms:W3CDTF">2019-07-03T10:41:00Z</dcterms:modified>
</cp:coreProperties>
</file>